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2097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F:\нормативные документы\об орг тренир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рмативные документы\об орг трениров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97" w:rsidRDefault="00E52097"/>
    <w:p w:rsidR="00E52097" w:rsidRDefault="00E52097"/>
    <w:tbl>
      <w:tblPr>
        <w:tblStyle w:val="a5"/>
        <w:tblW w:w="0" w:type="auto"/>
        <w:tblLook w:val="01E0"/>
      </w:tblPr>
      <w:tblGrid>
        <w:gridCol w:w="2628"/>
        <w:gridCol w:w="3220"/>
        <w:gridCol w:w="1820"/>
        <w:gridCol w:w="1820"/>
      </w:tblGrid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lastRenderedPageBreak/>
              <w:t>Этапы подготовки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Основные задачи этапа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Период подготовки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ДЮСШ</w:t>
            </w:r>
          </w:p>
        </w:tc>
      </w:tr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Расширение двигательных возможностей и компенсация дефицита двигательной активности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Весь период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+</w:t>
            </w:r>
          </w:p>
        </w:tc>
      </w:tr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Начальной подготовки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Базовая подготовка и определение избранного вида спорта для дальнейшей специализации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До 3 лет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+</w:t>
            </w:r>
          </w:p>
        </w:tc>
      </w:tr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Учебно-тренировочный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Специальная и углубленная тренировка в избранном виде спорта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До 5 лет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+</w:t>
            </w:r>
          </w:p>
        </w:tc>
      </w:tr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Спортивного совершенствования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Совершенствование спортивного мастерства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До 3 лет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*</w:t>
            </w:r>
          </w:p>
        </w:tc>
      </w:tr>
      <w:tr w:rsidR="00E52097" w:rsidRPr="00E52097" w:rsidTr="00675872">
        <w:tc>
          <w:tcPr>
            <w:tcW w:w="2628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Высшего спортивного мастерства</w:t>
            </w:r>
          </w:p>
        </w:tc>
        <w:tc>
          <w:tcPr>
            <w:tcW w:w="32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Реализация индивидуальных возможностей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3 года и боле</w:t>
            </w:r>
            <w:proofErr w:type="gramStart"/>
            <w:r w:rsidRPr="00E52097">
              <w:rPr>
                <w:sz w:val="24"/>
                <w:szCs w:val="24"/>
              </w:rPr>
              <w:t>е(</w:t>
            </w:r>
            <w:proofErr w:type="gramEnd"/>
            <w:r w:rsidRPr="00E52097">
              <w:rPr>
                <w:sz w:val="24"/>
                <w:szCs w:val="24"/>
              </w:rPr>
              <w:t>с учетом возрастного ценза)</w:t>
            </w:r>
          </w:p>
        </w:tc>
        <w:tc>
          <w:tcPr>
            <w:tcW w:w="1820" w:type="dxa"/>
          </w:tcPr>
          <w:p w:rsidR="00E52097" w:rsidRPr="00E52097" w:rsidRDefault="00E52097" w:rsidP="00675872">
            <w:pPr>
              <w:jc w:val="both"/>
              <w:rPr>
                <w:sz w:val="24"/>
                <w:szCs w:val="24"/>
              </w:rPr>
            </w:pPr>
            <w:r w:rsidRPr="00E52097">
              <w:rPr>
                <w:sz w:val="24"/>
                <w:szCs w:val="24"/>
              </w:rPr>
              <w:t>*</w:t>
            </w:r>
          </w:p>
        </w:tc>
      </w:tr>
    </w:tbl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Условные обозначения:   «+» - основные этапы подготовки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                                    «*» - рекомендуется при наличии условий и возможностей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2.3. Для обеспечения этапов многолетней спортивной подготовки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школа использует систему спортивного отбора, включающую в себя: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а) тестирование детей;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б) сдача контрольных нормативов с целью комплектования учебных групп;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в) просмотр и отбор перспективных юных спортсменов на учебно-тренировочных сборах и соревнованиях.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2.4. Для анализа и корректировки учреждениями своей деятельности рекомендуется использовать следующие критерии: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а) на спортивно-оздоровительном этапе: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- стабильное развитие общей физической подготовки обучающихся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на ряду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с основами технических навыков в избранном виде спорта;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уровень освоения основ знаний в области гигиены и первой медицинской помощи, а так же овладения теоретическими основами физической культуры и навыков самоконтроля.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б) на этапе начальной  подготовки: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>- стабильность состава обучающихся, уровень потенциальных возможностей обучающихся в выбранном виде спорта;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динамика роста индивидуальных показателей физической подготовленности обучающихся;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уровень освоения основ техники в избранном виде спорта.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в) на учебно-тренировочном этапе: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- состояние здоровья, уровень физической подготовленности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>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- динамика роста уровня специальной физической и технико-тактической подготовленности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в соответствии с индивидуальными особенностями;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уровень освоения объемов учебно-тренировочных нагрузок предусмотренных программой спортивной подготовки по избранному виду спорта;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выполнение нормативов массовых спортивных разрядов.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г) на этапе спортивного совершенствования: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- уровень общего и специального физического развития и функционального состояния организма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>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динамика спортивных достижений, результаты выступлений в официальных региональных и всероссийских соревнованиях;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зачисление воспитанников спортивной школы в училища олимпийского резерва и школы высшего спортивного мастерства.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09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52097">
        <w:rPr>
          <w:rFonts w:ascii="Times New Roman" w:hAnsi="Times New Roman" w:cs="Times New Roman"/>
          <w:sz w:val="24"/>
          <w:szCs w:val="24"/>
        </w:rPr>
        <w:t>) на этапе высшего спортивного мастерства:</w:t>
      </w:r>
    </w:p>
    <w:p w:rsidR="00E52097" w:rsidRPr="00E52097" w:rsidRDefault="00E52097" w:rsidP="00E5209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стабильность успешных результатов выступления во всероссийских и международных соревнованиях;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097">
        <w:rPr>
          <w:rFonts w:ascii="Times New Roman" w:hAnsi="Times New Roman" w:cs="Times New Roman"/>
          <w:b/>
          <w:sz w:val="24"/>
          <w:szCs w:val="24"/>
        </w:rPr>
        <w:t>3. Условия зачисления в спортивную школу, комплектование учебных групп и порядок перевода учащихся на каждый последующий год обучения.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3.1. Занятия в спортивной школе проводятся по типовым учебным программам и программам, разработанным и утвержденным учреждением на основе типовых программ по виду спорта допущенных (утвержденных) Федеральным органом управления в сфере физической культуры и спорта (дале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учебной программы).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Рекомендуемый минимальный возраст зачисления детей в спортивные школы по видам спорта определяется в соответствии с Санитарно-эпидемиологическими требованиями к учреждениям дополнительного образования детей (внешкольные учреждения) – </w:t>
      </w:r>
      <w:proofErr w:type="spellStart"/>
      <w:r w:rsidRPr="00E5209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52097">
        <w:rPr>
          <w:rFonts w:ascii="Times New Roman" w:hAnsi="Times New Roman" w:cs="Times New Roman"/>
          <w:sz w:val="24"/>
          <w:szCs w:val="24"/>
        </w:rPr>
        <w:t xml:space="preserve">  2.4.4.  1251-03 (приложение №2) утвержденные Постановлением Главного государственного санитарного врача РФ от 3 апреля 2003 г. №27.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 xml:space="preserve">      Рекомендуемый максимальный возраст обучающихся – 18 лет (для учащейся молодежи – 21 год).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3.2. При соблюдении организационно-методических и медицинских требований спортивная школа может осуществлять набор детей раннего возраста с 6 лет.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Условиями данного набора является: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наличие письменного заявления одного из родителей (законного представителя) ребенка;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наличие учебной программы, в которой изложена методика физического воспитания детей раннего возраста;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сохранение спортивной школой набора детей в группы начальной подготовки в возрастном диапазоне, рекомендованном учебной программой;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наличие у тренера-преподавателя, привлеченного к работе с детьми раннего возраста квалификационной категории или специальных курсов повышения квалификации.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3.3. Порядок зачисления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в группы спортивной подготовки, перевод из одной группы в другую определяется непосредственно учреждением и оформляется приказом директора спортивной школы.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3.4. </w:t>
      </w:r>
      <w:proofErr w:type="spellStart"/>
      <w:proofErr w:type="gramStart"/>
      <w:r w:rsidRPr="00E52097">
        <w:rPr>
          <w:rFonts w:ascii="Times New Roman" w:hAnsi="Times New Roman" w:cs="Times New Roman"/>
          <w:sz w:val="24"/>
          <w:szCs w:val="24"/>
        </w:rPr>
        <w:t>Спортвно-оздоровительные</w:t>
      </w:r>
      <w:proofErr w:type="spellEnd"/>
      <w:r w:rsidRPr="00E52097">
        <w:rPr>
          <w:rFonts w:ascii="Times New Roman" w:hAnsi="Times New Roman" w:cs="Times New Roman"/>
          <w:sz w:val="24"/>
          <w:szCs w:val="24"/>
        </w:rPr>
        <w:t xml:space="preserve"> группы формируются как из вновь зачисляемых в спортивную школу обучающихся, так из обучающихся не имеющих по каким-либо причинам возможности продолжать занятия на других этапах подготовки, но желающих заниматься избранным видом спорта.</w:t>
      </w:r>
      <w:proofErr w:type="gramEnd"/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3.5. При невозможности зачисления в группы начальной подготовки всех желающих отбор рекомендуется производить по результатам сдачи контрольных нормативов.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Порядок проведения отбора устанавливается учреждением и доводится до сведения общественности.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3.6. На учебно-тренировочный этап, как правило, зачисляются только практически здоровые обучающиеся, прошедшие необходимую подготовку на этапе начальной подготовки не менее одного года, при условии выполнения ими контрольных нормативов по общей и специальной физической подготовке, установленных учебными программами.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3.7. На этап спортивного совершенствования рекомендуется зачислять спортсменов, выполнивших норматив спортивного разряда не ниже кандидата в мастера спорта России, а по игровым видам спорта – не ниже первого юношеского разряда.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3.8. На этап высшего спортивного мастерства зачисляются перспективные спортсмены, вошедшие в основной состав или резервный состав сборной команды субъекта Российской Федерации и показывающие стабильные высокие результаты (на уровне норматива мастера спорта Росси).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Возраст обучающихся на этом этапе может не ограничиваться, если спортсмен продолжает выступать за данную спортивную школу на условиях письменного договора.</w:t>
      </w:r>
      <w:proofErr w:type="gramEnd"/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>3.9. При формировании групп спортивной подготовки на этапах спортивного совершенствования и высшего спортивного мастерства рекомендуется согласовывать списки обучающихся (спортсменов) с соответствующими местными и региональными органами управления физической культурой и спортом в целях оптимального вовлечения данных спортсменов в физкультурно-спортивную деятельность по месту жительства и в регионе.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3.10. Обучающиеся спортивных школ, направленные для повышения спортивного мастерства в училища олимпийского резерва, ШВСМ, команды мастеров по игровым видам спорта, по договору между  данными организациями и спортивной школой могут выступать за ее команду в течение оговоренного срока (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рекомендуемый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– 2 года).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Спортивной школе рекомендуется в течение указанного срока сохранять за тренерами-преподавателями, руководящими работниками и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специалистами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ранее установленные надбавки (доплаты) за подготовку данных спортсменов.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3.11. Наполняемость учебных групп и объем учебно-тренировочной нагрузки определяется с учетом техники безопасности в соответствии с учебной программой.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 При отсутствии в утвержденной учебной программе нормативов по наполняемости учебных групп и максимальном объеме учебно-тренировочной нагрузки рекомендуется придерживаться параметров приведенных в таблице № 2.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Таблица № 2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1E0"/>
      </w:tblPr>
      <w:tblGrid>
        <w:gridCol w:w="2235"/>
        <w:gridCol w:w="1694"/>
        <w:gridCol w:w="1859"/>
        <w:gridCol w:w="1911"/>
        <w:gridCol w:w="1872"/>
      </w:tblGrid>
      <w:tr w:rsidR="00E52097" w:rsidRPr="00E52097" w:rsidTr="00675872">
        <w:tc>
          <w:tcPr>
            <w:tcW w:w="2235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Период обучения</w:t>
            </w:r>
          </w:p>
        </w:tc>
        <w:tc>
          <w:tcPr>
            <w:tcW w:w="1859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Минимальная наполняемость групп (чел.)</w:t>
            </w:r>
          </w:p>
        </w:tc>
        <w:tc>
          <w:tcPr>
            <w:tcW w:w="1911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Максимальный количественный состав группы (чел.)</w:t>
            </w:r>
          </w:p>
        </w:tc>
        <w:tc>
          <w:tcPr>
            <w:tcW w:w="1872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Максимальный объем учебно-тренировочной нагрузки (час/</w:t>
            </w:r>
            <w:proofErr w:type="spellStart"/>
            <w:r w:rsidRPr="00E52097">
              <w:rPr>
                <w:sz w:val="22"/>
                <w:szCs w:val="22"/>
              </w:rPr>
              <w:t>нед</w:t>
            </w:r>
            <w:proofErr w:type="spellEnd"/>
            <w:r w:rsidRPr="00E52097">
              <w:rPr>
                <w:sz w:val="22"/>
                <w:szCs w:val="22"/>
              </w:rPr>
              <w:t>.)</w:t>
            </w:r>
          </w:p>
        </w:tc>
      </w:tr>
      <w:tr w:rsidR="00E52097" w:rsidRPr="00E52097" w:rsidTr="00675872">
        <w:tc>
          <w:tcPr>
            <w:tcW w:w="2235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Спортивно-оздоровительный</w:t>
            </w: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Весь период</w:t>
            </w:r>
          </w:p>
        </w:tc>
        <w:tc>
          <w:tcPr>
            <w:tcW w:w="1859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15</w:t>
            </w:r>
          </w:p>
        </w:tc>
        <w:tc>
          <w:tcPr>
            <w:tcW w:w="1911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30</w:t>
            </w:r>
          </w:p>
        </w:tc>
        <w:tc>
          <w:tcPr>
            <w:tcW w:w="1872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До 6</w:t>
            </w:r>
          </w:p>
        </w:tc>
      </w:tr>
      <w:tr w:rsidR="00E52097" w:rsidRPr="00E52097" w:rsidTr="00675872">
        <w:trPr>
          <w:trHeight w:val="185"/>
        </w:trPr>
        <w:tc>
          <w:tcPr>
            <w:tcW w:w="2235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Начальной подготовки</w:t>
            </w: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Первый год</w:t>
            </w:r>
          </w:p>
        </w:tc>
        <w:tc>
          <w:tcPr>
            <w:tcW w:w="1859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15</w:t>
            </w: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30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9</w:t>
            </w:r>
          </w:p>
        </w:tc>
      </w:tr>
      <w:tr w:rsidR="00E52097" w:rsidRPr="00E52097" w:rsidTr="00675872">
        <w:trPr>
          <w:trHeight w:val="185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Второй год</w:t>
            </w:r>
          </w:p>
        </w:tc>
        <w:tc>
          <w:tcPr>
            <w:tcW w:w="1859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12</w:t>
            </w: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30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9</w:t>
            </w:r>
          </w:p>
        </w:tc>
      </w:tr>
      <w:tr w:rsidR="00E52097" w:rsidRPr="00E52097" w:rsidTr="00675872">
        <w:trPr>
          <w:trHeight w:val="185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Третий год</w:t>
            </w:r>
          </w:p>
        </w:tc>
        <w:tc>
          <w:tcPr>
            <w:tcW w:w="1859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12</w:t>
            </w: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30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9</w:t>
            </w:r>
          </w:p>
        </w:tc>
      </w:tr>
      <w:tr w:rsidR="00E52097" w:rsidRPr="00E52097" w:rsidTr="00675872">
        <w:trPr>
          <w:trHeight w:val="111"/>
        </w:trPr>
        <w:tc>
          <w:tcPr>
            <w:tcW w:w="2235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Учебно-тренировочный</w:t>
            </w: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Первый год</w:t>
            </w:r>
          </w:p>
        </w:tc>
        <w:tc>
          <w:tcPr>
            <w:tcW w:w="1859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10</w:t>
            </w: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20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12</w:t>
            </w:r>
          </w:p>
        </w:tc>
      </w:tr>
      <w:tr w:rsidR="00E52097" w:rsidRPr="00E52097" w:rsidTr="00675872">
        <w:trPr>
          <w:trHeight w:val="111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Второй год</w:t>
            </w:r>
          </w:p>
        </w:tc>
        <w:tc>
          <w:tcPr>
            <w:tcW w:w="1859" w:type="dxa"/>
            <w:vMerge w:val="restart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Устанавливается учреждением</w:t>
            </w: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20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14</w:t>
            </w:r>
          </w:p>
        </w:tc>
      </w:tr>
      <w:tr w:rsidR="00E52097" w:rsidRPr="00E52097" w:rsidTr="00675872">
        <w:trPr>
          <w:trHeight w:val="111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Третий год</w:t>
            </w:r>
          </w:p>
        </w:tc>
        <w:tc>
          <w:tcPr>
            <w:tcW w:w="1859" w:type="dxa"/>
            <w:vMerge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16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16</w:t>
            </w:r>
          </w:p>
        </w:tc>
      </w:tr>
      <w:tr w:rsidR="00E52097" w:rsidRPr="00E52097" w:rsidTr="00675872">
        <w:trPr>
          <w:trHeight w:val="111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Четвертый год</w:t>
            </w:r>
          </w:p>
        </w:tc>
        <w:tc>
          <w:tcPr>
            <w:tcW w:w="1859" w:type="dxa"/>
            <w:vMerge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16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18</w:t>
            </w:r>
          </w:p>
        </w:tc>
      </w:tr>
      <w:tr w:rsidR="00E52097" w:rsidRPr="00E52097" w:rsidTr="00675872">
        <w:trPr>
          <w:trHeight w:val="111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Пятый год</w:t>
            </w:r>
          </w:p>
        </w:tc>
        <w:tc>
          <w:tcPr>
            <w:tcW w:w="1859" w:type="dxa"/>
            <w:vMerge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16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20</w:t>
            </w:r>
          </w:p>
        </w:tc>
      </w:tr>
      <w:tr w:rsidR="00E52097" w:rsidRPr="00E52097" w:rsidTr="00675872">
        <w:trPr>
          <w:trHeight w:val="278"/>
        </w:trPr>
        <w:tc>
          <w:tcPr>
            <w:tcW w:w="2235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Спортивного совершенствования</w:t>
            </w: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До года</w:t>
            </w:r>
          </w:p>
        </w:tc>
        <w:tc>
          <w:tcPr>
            <w:tcW w:w="1859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14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24</w:t>
            </w:r>
          </w:p>
        </w:tc>
      </w:tr>
      <w:tr w:rsidR="00E52097" w:rsidRPr="00E52097" w:rsidTr="00675872">
        <w:trPr>
          <w:trHeight w:val="277"/>
        </w:trPr>
        <w:tc>
          <w:tcPr>
            <w:tcW w:w="2235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Свыше года</w:t>
            </w:r>
          </w:p>
        </w:tc>
        <w:tc>
          <w:tcPr>
            <w:tcW w:w="1859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12</w:t>
            </w:r>
          </w:p>
        </w:tc>
        <w:tc>
          <w:tcPr>
            <w:tcW w:w="1872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28</w:t>
            </w:r>
          </w:p>
        </w:tc>
      </w:tr>
      <w:tr w:rsidR="00E52097" w:rsidRPr="00E52097" w:rsidTr="00675872">
        <w:tc>
          <w:tcPr>
            <w:tcW w:w="2235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Высшего спортивного мастерства</w:t>
            </w:r>
          </w:p>
        </w:tc>
        <w:tc>
          <w:tcPr>
            <w:tcW w:w="1694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Весь период</w:t>
            </w:r>
          </w:p>
        </w:tc>
        <w:tc>
          <w:tcPr>
            <w:tcW w:w="1859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11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8</w:t>
            </w:r>
          </w:p>
        </w:tc>
        <w:tc>
          <w:tcPr>
            <w:tcW w:w="1872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32</w:t>
            </w:r>
          </w:p>
        </w:tc>
      </w:tr>
    </w:tbl>
    <w:p w:rsidR="00E52097" w:rsidRPr="00E52097" w:rsidRDefault="00E52097" w:rsidP="00E52097">
      <w:pPr>
        <w:jc w:val="both"/>
        <w:rPr>
          <w:rFonts w:ascii="Times New Roman" w:hAnsi="Times New Roman" w:cs="Times New Roman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0"/>
          <w:szCs w:val="20"/>
        </w:rPr>
      </w:pPr>
      <w:r w:rsidRPr="00E52097">
        <w:rPr>
          <w:rFonts w:ascii="Times New Roman" w:hAnsi="Times New Roman" w:cs="Times New Roman"/>
          <w:b/>
          <w:sz w:val="20"/>
          <w:szCs w:val="20"/>
        </w:rPr>
        <w:t xml:space="preserve">Примечания:    </w:t>
      </w:r>
      <w:r w:rsidRPr="00E52097">
        <w:rPr>
          <w:rFonts w:ascii="Times New Roman" w:hAnsi="Times New Roman" w:cs="Times New Roman"/>
          <w:sz w:val="20"/>
          <w:szCs w:val="20"/>
        </w:rPr>
        <w:t>1. Недельный режим учебно-тренировочной нагрузки является максимальным и устанавливается в зависимости от специфики вида спорта, периода и задач подготовки.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0"/>
          <w:szCs w:val="20"/>
        </w:rPr>
      </w:pPr>
      <w:r w:rsidRPr="00E5209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2. </w:t>
      </w:r>
      <w:proofErr w:type="spellStart"/>
      <w:r w:rsidRPr="00E52097">
        <w:rPr>
          <w:rFonts w:ascii="Times New Roman" w:hAnsi="Times New Roman" w:cs="Times New Roman"/>
          <w:sz w:val="20"/>
          <w:szCs w:val="20"/>
        </w:rPr>
        <w:t>Общегодовой</w:t>
      </w:r>
      <w:proofErr w:type="spellEnd"/>
      <w:r w:rsidRPr="00E52097">
        <w:rPr>
          <w:rFonts w:ascii="Times New Roman" w:hAnsi="Times New Roman" w:cs="Times New Roman"/>
          <w:sz w:val="20"/>
          <w:szCs w:val="20"/>
        </w:rPr>
        <w:t xml:space="preserve"> объем учебно-тренировочной нагрузки, предусмотренный указанными режимами нагрузки  (работы), начиная с учебно-тренировочного этапа подготовки свыше </w:t>
      </w:r>
      <w:proofErr w:type="gramStart"/>
      <w:r w:rsidRPr="00E52097">
        <w:rPr>
          <w:rFonts w:ascii="Times New Roman" w:hAnsi="Times New Roman" w:cs="Times New Roman"/>
          <w:sz w:val="20"/>
          <w:szCs w:val="20"/>
        </w:rPr>
        <w:t>двух лет, может</w:t>
      </w:r>
      <w:proofErr w:type="gramEnd"/>
      <w:r w:rsidRPr="00E52097">
        <w:rPr>
          <w:rFonts w:ascii="Times New Roman" w:hAnsi="Times New Roman" w:cs="Times New Roman"/>
          <w:sz w:val="20"/>
          <w:szCs w:val="20"/>
        </w:rPr>
        <w:t xml:space="preserve"> быть сокращен не более чем на 25%.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3.12. 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1.13. Перевод обучающихся (в т.ч. досрочно) в группу следующего года обучения или этапа спортивной подготовки рекомендуется проводить решением тренерского совета на основании стажа занятий, выполнения контрольных нормативов общей и специальной физической подготовки, а также заключения врача (медицинской комиссии).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, не выполнившим предъявляемые требования рекомендуется предоставлять возможность продолжить обучение повторно на том же этапе или в </w:t>
      </w:r>
      <w:proofErr w:type="spellStart"/>
      <w:r w:rsidRPr="00E52097">
        <w:rPr>
          <w:rFonts w:ascii="Times New Roman" w:hAnsi="Times New Roman" w:cs="Times New Roman"/>
          <w:sz w:val="24"/>
          <w:szCs w:val="24"/>
        </w:rPr>
        <w:t>спортвно-оздоровительных</w:t>
      </w:r>
      <w:proofErr w:type="spellEnd"/>
      <w:r w:rsidRPr="00E52097">
        <w:rPr>
          <w:rFonts w:ascii="Times New Roman" w:hAnsi="Times New Roman" w:cs="Times New Roman"/>
          <w:sz w:val="24"/>
          <w:szCs w:val="24"/>
        </w:rPr>
        <w:t xml:space="preserve"> группах.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097">
        <w:rPr>
          <w:rFonts w:ascii="Times New Roman" w:hAnsi="Times New Roman" w:cs="Times New Roman"/>
          <w:b/>
          <w:sz w:val="24"/>
          <w:szCs w:val="24"/>
        </w:rPr>
        <w:t>4. Организация учебно-тренировочного процесса.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4.1. Спортивная школа организует работу с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в течение календарного года. Начало и окончание учебного года зависит от специфики вида спорта, календаря спортивных соревнований, периодизации спортивной подготовки и устанавливается администрацией спортивной школы для каждого вида спорта индивидуально.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4.2. Учебно-тренировочные занятия в отделениях по видам спорта спортивной школы проводятся в соответствии с годовым учебным планом, рассчитанным на 46 недель учебно-тренировочных занятий, непосредственно в условиях спортивной школы и дополнительно 6 недель – в условиях оздоровительного лагеря спортивного профиля и (или) по индивидуальным планам обучающихся на период их активного отдыха.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4.3. Основными формами учебно-тренировочного процесса являются: групповым учебно-тренировочные и теоретические занятия, работа по индивидуальным планам, медико-восстановительные мероприятия, тестирование и медицинский контроль, участие в соревнованиях, матчевых встречах, учебно-тренировочных сборах, инструкторская и судейская практика.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Обязательность работы по индивидуальным  планам рекомендуется устанавливать на этапах спортивного совершенствования и высшего спортивного мастерства.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4.4. Расписание занятий (тренировок) составляется администрацией спортивной школы по представлению тренера-преподавателя в целях установления  более благоприятного режима тренировок, отдыха обучающихся, обучения их в общеобразовательных и других учреждениях с учетом возрастных особенностей детей и установленных санитарно-гигиенических норм.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Содержание учебно-тренировочных занятий должно соответствовать утвержденным учебным программам.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>4.5. По всем видам спорта для проведения занятий в учебно-тренировочных группах, группах спортивного совершенствования и высшего спортивного мастерства, кроме основного тренера-преподавателя рекомендуется при необходимости привлекать дополнительно тренеров-преподавателей и других специалистов в пределах количества часов учебной программы.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4.6. Для обеспечения </w:t>
      </w:r>
      <w:proofErr w:type="spellStart"/>
      <w:r w:rsidRPr="00E52097">
        <w:rPr>
          <w:rFonts w:ascii="Times New Roman" w:hAnsi="Times New Roman" w:cs="Times New Roman"/>
          <w:sz w:val="24"/>
          <w:szCs w:val="24"/>
        </w:rPr>
        <w:t>круглогодичности</w:t>
      </w:r>
      <w:proofErr w:type="spellEnd"/>
      <w:r w:rsidRPr="00E52097">
        <w:rPr>
          <w:rFonts w:ascii="Times New Roman" w:hAnsi="Times New Roman" w:cs="Times New Roman"/>
          <w:sz w:val="24"/>
          <w:szCs w:val="24"/>
        </w:rPr>
        <w:t xml:space="preserve"> учебно-тренировочного процесса, спортивной подготовки и активного отдыха учащихся в период каникул организуются оздоровительно-спортивные лагеря.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Порядок привлечения работников спортивной школы к работе в оздоровительно-спортивных лагерях определяется в соответствии приложением № 1 «Порядок и условия привлечения педагогических и других работников для работы в оздоровительных лагерях, летних загородных дошкольных учреждениях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>о проведению туристских походов, экспедиций, экскурсий и оплаты их труда» к приказу Минобразования России от 29 марта 1993 г. № 113.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При проведении учебно-тренировочных сборов вне рамок оздоровительного лагеря привлечение работников к проведению мероприятия может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в соответствии с п.8 указанного Приложения в том же порядке, как и при проведении туристских походов.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4.7. Продолжительность одного занятия в группах спортивно-оздоровительной направленности и начальной подготовки не должна превышать двух академических часов, в учебно-тренировочных группах – трех академических часов.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4.8. Спортивной школе рекомендуется для подготовки обучающихся в личных и командных видах спортивных дисциплин, в том числе по игровым  видам спорта проводить учебно-тренировочные сборы продолжительностью до 12 дней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муниципальным.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b/>
          <w:sz w:val="24"/>
          <w:szCs w:val="24"/>
        </w:rPr>
        <w:t>5. Оплата труда</w:t>
      </w:r>
      <w:r w:rsidRPr="00E52097">
        <w:rPr>
          <w:rFonts w:ascii="Times New Roman" w:hAnsi="Times New Roman" w:cs="Times New Roman"/>
          <w:sz w:val="24"/>
          <w:szCs w:val="24"/>
        </w:rPr>
        <w:t>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5.1 Форма и система оплаты труда, установление надбавок и доплат работникам спортивной школы регулируется непосредственно учреждением в соответствии с трудовым законодательством.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Для расчета заработной платы тренерам-преподавателям руководители спортивных школ ежегодно на начало учебного года или календарного года утверждают тарификационные списки по установленной форме.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 апреля 2003 г.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 (с изменениями от 1 февраля 2005 г.) продолжительность рабочего времени (норма часов педагогической работы за ставку заработной платы) для педагогических работников спортивных школ устанавливается исходя из сокращенной продолжительности рабочего времени не более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36 часов в неделю.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 xml:space="preserve">        Норма часов преподавательской работы за ставку заработной платы (нормируемая часть педагогической работы) тренерам-преподавателям (старшим тренерам-преподавателям) устанавливается в объеме 18 часов в неделю.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5.3.  Нормативы оплаты труда тренеров-преподавателей за подготовку одного занимающегося (в процентах от ставки заработной платы) указаны в таблице № 4.</w:t>
      </w:r>
    </w:p>
    <w:p w:rsid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Таблица № 4</w:t>
      </w:r>
    </w:p>
    <w:tbl>
      <w:tblPr>
        <w:tblStyle w:val="a5"/>
        <w:tblW w:w="0" w:type="auto"/>
        <w:tblLook w:val="01E0"/>
      </w:tblPr>
      <w:tblGrid>
        <w:gridCol w:w="2488"/>
        <w:gridCol w:w="2380"/>
        <w:gridCol w:w="1567"/>
        <w:gridCol w:w="1568"/>
        <w:gridCol w:w="1568"/>
      </w:tblGrid>
      <w:tr w:rsidR="00E52097" w:rsidRPr="00E52097" w:rsidTr="00675872">
        <w:trPr>
          <w:trHeight w:val="460"/>
        </w:trPr>
        <w:tc>
          <w:tcPr>
            <w:tcW w:w="2488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Этапы подготовки</w:t>
            </w:r>
          </w:p>
        </w:tc>
        <w:tc>
          <w:tcPr>
            <w:tcW w:w="2380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Период обучения (лет)</w:t>
            </w:r>
          </w:p>
        </w:tc>
        <w:tc>
          <w:tcPr>
            <w:tcW w:w="4703" w:type="dxa"/>
            <w:gridSpan w:val="3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Норматив оплаты труда тренера-преподавателя по спорту за подготовку одного занимающегося (</w:t>
            </w:r>
            <w:proofErr w:type="gramStart"/>
            <w:r w:rsidRPr="00E52097">
              <w:rPr>
                <w:sz w:val="22"/>
                <w:szCs w:val="22"/>
              </w:rPr>
              <w:t>в</w:t>
            </w:r>
            <w:proofErr w:type="gramEnd"/>
            <w:r w:rsidRPr="00E52097">
              <w:rPr>
                <w:sz w:val="22"/>
                <w:szCs w:val="22"/>
              </w:rPr>
              <w:t xml:space="preserve"> % от ставки)</w:t>
            </w:r>
          </w:p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</w:tr>
      <w:tr w:rsidR="00E52097" w:rsidRPr="00E52097" w:rsidTr="00675872">
        <w:trPr>
          <w:trHeight w:val="460"/>
        </w:trPr>
        <w:tc>
          <w:tcPr>
            <w:tcW w:w="2488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80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03" w:type="dxa"/>
            <w:gridSpan w:val="3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Группы видов спорта</w:t>
            </w:r>
          </w:p>
        </w:tc>
      </w:tr>
      <w:tr w:rsidR="00E52097" w:rsidRPr="00E52097" w:rsidTr="00675872">
        <w:trPr>
          <w:trHeight w:val="460"/>
        </w:trPr>
        <w:tc>
          <w:tcPr>
            <w:tcW w:w="2488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80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  <w:lang w:val="en-US"/>
              </w:rPr>
            </w:pPr>
            <w:r w:rsidRPr="00E52097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56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  <w:lang w:val="en-US"/>
              </w:rPr>
            </w:pPr>
            <w:r w:rsidRPr="00E52097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56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  <w:lang w:val="en-US"/>
              </w:rPr>
            </w:pPr>
            <w:r w:rsidRPr="00E52097">
              <w:rPr>
                <w:sz w:val="22"/>
                <w:szCs w:val="22"/>
                <w:lang w:val="en-US"/>
              </w:rPr>
              <w:t>III</w:t>
            </w:r>
          </w:p>
        </w:tc>
      </w:tr>
      <w:tr w:rsidR="00E52097" w:rsidRPr="00E52097" w:rsidTr="00675872">
        <w:tc>
          <w:tcPr>
            <w:tcW w:w="248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Спортивно-оздоровительный</w:t>
            </w: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Весь период</w:t>
            </w:r>
          </w:p>
        </w:tc>
        <w:tc>
          <w:tcPr>
            <w:tcW w:w="1567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2.2</w:t>
            </w:r>
          </w:p>
        </w:tc>
        <w:tc>
          <w:tcPr>
            <w:tcW w:w="156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2.2</w:t>
            </w:r>
          </w:p>
        </w:tc>
        <w:tc>
          <w:tcPr>
            <w:tcW w:w="156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2.2</w:t>
            </w:r>
          </w:p>
        </w:tc>
      </w:tr>
      <w:tr w:rsidR="00E52097" w:rsidRPr="00E52097" w:rsidTr="00675872">
        <w:trPr>
          <w:trHeight w:val="278"/>
        </w:trPr>
        <w:tc>
          <w:tcPr>
            <w:tcW w:w="2488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Начальной подготовки</w:t>
            </w: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 xml:space="preserve"> 1 год обучения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</w:t>
            </w:r>
          </w:p>
        </w:tc>
      </w:tr>
      <w:tr w:rsidR="00E52097" w:rsidRPr="00E52097" w:rsidTr="00675872">
        <w:trPr>
          <w:trHeight w:val="277"/>
        </w:trPr>
        <w:tc>
          <w:tcPr>
            <w:tcW w:w="2488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Св. 1 года обучения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4</w:t>
            </w:r>
          </w:p>
        </w:tc>
      </w:tr>
      <w:tr w:rsidR="00E52097" w:rsidRPr="00E52097" w:rsidTr="00675872">
        <w:trPr>
          <w:trHeight w:val="278"/>
        </w:trPr>
        <w:tc>
          <w:tcPr>
            <w:tcW w:w="2488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Учебно-тренировочный</w:t>
            </w: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1-2 года обучения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9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7</w:t>
            </w:r>
          </w:p>
        </w:tc>
      </w:tr>
      <w:tr w:rsidR="00E52097" w:rsidRPr="00E52097" w:rsidTr="00675872">
        <w:trPr>
          <w:trHeight w:val="277"/>
        </w:trPr>
        <w:tc>
          <w:tcPr>
            <w:tcW w:w="2488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Св. 2 лет обучения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15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13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11</w:t>
            </w:r>
          </w:p>
        </w:tc>
      </w:tr>
      <w:tr w:rsidR="00E52097" w:rsidRPr="00E52097" w:rsidTr="00675872">
        <w:trPr>
          <w:trHeight w:val="278"/>
        </w:trPr>
        <w:tc>
          <w:tcPr>
            <w:tcW w:w="2488" w:type="dxa"/>
            <w:vMerge w:val="restart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Спортивного совершенствования</w:t>
            </w: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До года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24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21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18</w:t>
            </w:r>
          </w:p>
        </w:tc>
      </w:tr>
      <w:tr w:rsidR="00E52097" w:rsidRPr="00E52097" w:rsidTr="00675872">
        <w:trPr>
          <w:trHeight w:val="277"/>
        </w:trPr>
        <w:tc>
          <w:tcPr>
            <w:tcW w:w="2488" w:type="dxa"/>
            <w:vMerge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Свыше года</w:t>
            </w:r>
          </w:p>
        </w:tc>
        <w:tc>
          <w:tcPr>
            <w:tcW w:w="1567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39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34</w:t>
            </w:r>
          </w:p>
        </w:tc>
        <w:tc>
          <w:tcPr>
            <w:tcW w:w="1568" w:type="dxa"/>
            <w:shd w:val="clear" w:color="auto" w:fill="auto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29</w:t>
            </w:r>
          </w:p>
        </w:tc>
      </w:tr>
      <w:tr w:rsidR="00E52097" w:rsidRPr="00E52097" w:rsidTr="00675872">
        <w:tc>
          <w:tcPr>
            <w:tcW w:w="2488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Высшего спортивного мастерства</w:t>
            </w:r>
          </w:p>
        </w:tc>
        <w:tc>
          <w:tcPr>
            <w:tcW w:w="2380" w:type="dxa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Весь период</w:t>
            </w:r>
          </w:p>
        </w:tc>
        <w:tc>
          <w:tcPr>
            <w:tcW w:w="4703" w:type="dxa"/>
            <w:gridSpan w:val="3"/>
          </w:tcPr>
          <w:p w:rsidR="00E52097" w:rsidRPr="00E52097" w:rsidRDefault="00E52097" w:rsidP="00675872">
            <w:pPr>
              <w:jc w:val="both"/>
              <w:rPr>
                <w:sz w:val="22"/>
                <w:szCs w:val="22"/>
              </w:rPr>
            </w:pPr>
            <w:r w:rsidRPr="00E52097">
              <w:rPr>
                <w:sz w:val="22"/>
                <w:szCs w:val="22"/>
              </w:rPr>
              <w:t>Персональный оклад</w:t>
            </w:r>
          </w:p>
        </w:tc>
      </w:tr>
    </w:tbl>
    <w:p w:rsidR="00E52097" w:rsidRPr="00E52097" w:rsidRDefault="00E52097" w:rsidP="00E52097">
      <w:pPr>
        <w:jc w:val="both"/>
        <w:rPr>
          <w:rFonts w:ascii="Times New Roman" w:hAnsi="Times New Roman" w:cs="Times New Roman"/>
        </w:rPr>
      </w:pP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5.4.Норматив оплаты труда тренеров-преподавателей, работающих преимущественно со спортивно-оздоровительными группами  ежегодно повышать на 0,5%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5.5. Виды спорта определяются по группам в следующем порядке: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-к первой группе относятся все  олимпийские виды спорта, кроме игровых видов;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-ко второй группе – олимпийские игровые виды спорта и не олимпийские виды спорта, получившие признание Международного олимпийского комитета;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-к третьей групп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все виды включенные во Всероссийский реестр видов спорт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097">
        <w:rPr>
          <w:rFonts w:ascii="Times New Roman" w:hAnsi="Times New Roman" w:cs="Times New Roman"/>
          <w:b/>
          <w:sz w:val="24"/>
          <w:szCs w:val="24"/>
        </w:rPr>
        <w:t>6. Медицинское обслуживание и контроль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b/>
          <w:sz w:val="24"/>
          <w:szCs w:val="24"/>
        </w:rPr>
        <w:tab/>
      </w:r>
      <w:r w:rsidRPr="00E52097">
        <w:rPr>
          <w:rFonts w:ascii="Times New Roman" w:hAnsi="Times New Roman" w:cs="Times New Roman"/>
          <w:sz w:val="24"/>
          <w:szCs w:val="24"/>
        </w:rPr>
        <w:t xml:space="preserve">В целях предупреждения нарушения здоровья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обучающихся предусмотреть: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 ежегодный медосмотр;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t>- перед участием в соревнованиях, после болезни или травмы, проводить дополнительные медицинские осмотры;</w:t>
      </w:r>
    </w:p>
    <w:p w:rsidR="00E52097" w:rsidRPr="00E52097" w:rsidRDefault="00E52097" w:rsidP="00E52097">
      <w:pPr>
        <w:jc w:val="both"/>
        <w:rPr>
          <w:rFonts w:ascii="Times New Roman" w:hAnsi="Times New Roman" w:cs="Times New Roman"/>
          <w:sz w:val="24"/>
          <w:szCs w:val="24"/>
        </w:rPr>
      </w:pPr>
      <w:r w:rsidRPr="00E52097">
        <w:rPr>
          <w:rFonts w:ascii="Times New Roman" w:hAnsi="Times New Roman" w:cs="Times New Roman"/>
          <w:sz w:val="24"/>
          <w:szCs w:val="24"/>
        </w:rPr>
        <w:lastRenderedPageBreak/>
        <w:t xml:space="preserve">-осуществлять контроль за использование </w:t>
      </w:r>
      <w:proofErr w:type="gramStart"/>
      <w:r w:rsidRPr="00E520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52097">
        <w:rPr>
          <w:rFonts w:ascii="Times New Roman" w:hAnsi="Times New Roman" w:cs="Times New Roman"/>
          <w:sz w:val="24"/>
          <w:szCs w:val="24"/>
        </w:rPr>
        <w:t xml:space="preserve"> фармакологических средств.</w:t>
      </w:r>
    </w:p>
    <w:p w:rsidR="00E52097" w:rsidRPr="00E52097" w:rsidRDefault="00E52097">
      <w:pPr>
        <w:rPr>
          <w:rFonts w:ascii="Times New Roman" w:hAnsi="Times New Roman" w:cs="Times New Roman"/>
        </w:rPr>
      </w:pPr>
    </w:p>
    <w:p w:rsidR="00E52097" w:rsidRPr="00E52097" w:rsidRDefault="00E52097">
      <w:pPr>
        <w:rPr>
          <w:rFonts w:ascii="Times New Roman" w:hAnsi="Times New Roman" w:cs="Times New Roman"/>
        </w:rPr>
      </w:pPr>
    </w:p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p w:rsidR="00E52097" w:rsidRDefault="00E52097"/>
    <w:sectPr w:rsidR="00E5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52097"/>
    <w:rsid w:val="00E52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09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52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2277</Words>
  <Characters>12981</Characters>
  <Application>Microsoft Office Word</Application>
  <DocSecurity>0</DocSecurity>
  <Lines>108</Lines>
  <Paragraphs>30</Paragraphs>
  <ScaleCrop>false</ScaleCrop>
  <Company/>
  <LinksUpToDate>false</LinksUpToDate>
  <CharactersWithSpaces>15228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2013-09-10T11:13:00Z</dcterms:created>
  <dcterms:modified xsi:type="dcterms:W3CDTF">2013-09-10T11:17:00Z</dcterms:modified>
</cp:coreProperties>
</file>